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9F" w:rsidRDefault="009417D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50E9F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F15A6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1/2023</w:t>
            </w:r>
          </w:p>
        </w:tc>
      </w:tr>
    </w:tbl>
    <w:p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19"/>
        <w:gridCol w:w="352"/>
        <w:gridCol w:w="4640"/>
        <w:gridCol w:w="2140"/>
        <w:gridCol w:w="638"/>
        <w:gridCol w:w="845"/>
        <w:gridCol w:w="155"/>
        <w:gridCol w:w="628"/>
        <w:gridCol w:w="854"/>
      </w:tblGrid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Podaci o školi: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tražene podatke: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Naziv škole:</w:t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 Antuna Augustinčića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Vladimira Nazora 2a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Zaprešić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E-adresa na koju se dostavlja poziv: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 w:rsidP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ured@os-aaugustincica-zapresic.skole.hr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(čl. 13. st. 13.)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Korisnici usluge su učenici: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Sedmih razreda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R</w:t>
            </w:r>
            <w:r w:rsidR="009417D8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azreda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5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Tip putovanja: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Uz planirano upisati broj dana i noćenja: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Škola u prirodi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Višednevna terenska nastava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3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2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Školska ekskurzija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Posjet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Odredište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područje, ime/imena države/država: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B46ABE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Područje u Republici Hrvatskoj          </w:t>
            </w:r>
            <w:r w:rsidR="008F7816"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Hrvatska, Istra</w:t>
            </w: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Država/e u inozemstvu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 w:rsidRPr="008F7816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19.-21. lipnja 2024.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50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Godina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sudionika: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broj:</w:t>
            </w:r>
            <w:r w:rsidR="008F7816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B46ABE" w:rsidRPr="00B46AB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93</w:t>
            </w:r>
          </w:p>
        </w:tc>
      </w:tr>
      <w:tr w:rsidR="00F50E9F">
        <w:tc>
          <w:tcPr>
            <w:tcW w:w="41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učenika</w:t>
            </w:r>
          </w:p>
        </w:tc>
        <w:tc>
          <w:tcPr>
            <w:tcW w:w="2798" w:type="dxa"/>
            <w:gridSpan w:val="2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s mogućnošću odstupanja za tri učenika</w:t>
            </w:r>
          </w:p>
        </w:tc>
      </w:tr>
      <w:tr w:rsidR="00F50E9F">
        <w:tc>
          <w:tcPr>
            <w:tcW w:w="41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učitelja</w:t>
            </w:r>
          </w:p>
        </w:tc>
        <w:tc>
          <w:tcPr>
            <w:tcW w:w="5226" w:type="dxa"/>
            <w:gridSpan w:val="6"/>
            <w:shd w:val="clear" w:color="auto" w:fill="F2F2F2"/>
            <w:vAlign w:val="center"/>
          </w:tcPr>
          <w:p w:rsidR="00F50E9F" w:rsidRDefault="008C633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7</w:t>
            </w:r>
            <w:bookmarkStart w:id="0" w:name="_GoBack"/>
            <w:bookmarkEnd w:id="0"/>
            <w:r w:rsidR="009336E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+ 2 asistenta</w:t>
            </w:r>
          </w:p>
        </w:tc>
      </w:tr>
      <w:tr w:rsidR="00F50E9F">
        <w:tc>
          <w:tcPr>
            <w:tcW w:w="418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Očekivani broj gratis ponuda za učenike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5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 puta: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traženo: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 polaska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Zaprešić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Imena mjesta (gradova i/ili naselja) koja se posjećuju: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proofErr w:type="spellStart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Svetvinčenat</w:t>
            </w:r>
            <w:proofErr w:type="spellEnd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Medieval</w:t>
            </w:r>
            <w:proofErr w:type="spellEnd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Theme</w:t>
            </w:r>
            <w:proofErr w:type="spellEnd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Park </w:t>
            </w:r>
            <w:proofErr w:type="spellStart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Sanc.Michael</w:t>
            </w:r>
            <w:proofErr w:type="spellEnd"/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, Rovinj, Pula ( Akvarij i Arena )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Vrsta prijevoza: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kombinacije: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Autobus koji udovoljava zakonskim propisima za prijevoz učenika</w:t>
            </w:r>
            <w:r w:rsid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8F7816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( NE   autobus na kat )</w:t>
            </w:r>
            <w:r w:rsid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lastRenderedPageBreak/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Vlak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Brod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Zrakoplov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Kombinirani prijevoz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Smještaj i prehrana: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Označiti s X ili dopisati traženo: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Hostel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9336E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Hotel, ako je moguće</w:t>
            </w: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Pr="001A1FB4" w:rsidRDefault="001A1FB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bliže centru grada</w:t>
            </w:r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Pr="009336E6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u w:val="single"/>
                <w:lang w:eastAsia="hr-HR"/>
              </w:rPr>
            </w:pPr>
            <w:r w:rsidRPr="009336E6">
              <w:rPr>
                <w:rFonts w:ascii="inherit" w:eastAsia="Times New Roman" w:hAnsi="inherit" w:cs="Times New Roman"/>
                <w:color w:val="231F20"/>
                <w:sz w:val="16"/>
                <w:szCs w:val="16"/>
                <w:u w:val="single"/>
                <w:lang w:eastAsia="hr-HR"/>
              </w:rPr>
              <w:t>Rovinj ili Pula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izvan grada s mogućnošću korištenja javnog prijevoza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nije bitna udaljenost od grada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Pansion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Prehrana na bazi polupansiona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Prehrana na bazi punoga pansiona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f)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ponude uračunati: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Ulaznice za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NP Brijun, Akvarij Pula, Arena Pula, </w:t>
            </w:r>
            <w:proofErr w:type="spellStart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Medieval</w:t>
            </w:r>
            <w:proofErr w:type="spellEnd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Theme</w:t>
            </w:r>
            <w:proofErr w:type="spellEnd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Park </w:t>
            </w:r>
            <w:proofErr w:type="spellStart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Sanc.Michael</w:t>
            </w:r>
            <w:proofErr w:type="spellEnd"/>
            <w:r w:rsid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, razgled</w:t>
            </w:r>
            <w:r w:rsidR="0086592A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86592A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Svetvinčenta</w:t>
            </w:r>
            <w:proofErr w:type="spellEnd"/>
            <w:r w:rsidR="0086592A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, Rovinja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Sudjelovanje u radionicama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Turističkog vodiča za razgled grada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(sva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navedena odredišta)</w:t>
            </w:r>
          </w:p>
        </w:tc>
      </w:tr>
      <w:tr w:rsidR="00F50E9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uključiti i stavke putnog osiguranja od:</w:t>
            </w:r>
          </w:p>
        </w:tc>
        <w:tc>
          <w:tcPr>
            <w:tcW w:w="2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(za br. 12):</w:t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posljedica nesretnoga slučaja i bolesti na putovanju u inozemstvu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zdravstvenog osiguranja za vrijeme puta i boravka u inozemstvu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otkaza putovanja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8F35F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418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oštećenja i gubitka prtljage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12. Dostava ponuda:</w:t>
            </w:r>
          </w:p>
        </w:tc>
      </w:tr>
      <w:tr w:rsidR="00F50E9F"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Rok dostave ponuda je</w:t>
            </w:r>
            <w:r w:rsidR="000D2D8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F15A6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16</w:t>
            </w:r>
            <w:r w:rsidR="000D2D85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.11.2023. g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odine do 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__</w:t>
            </w:r>
            <w:r w:rsidR="000D2D8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15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_ 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sati.</w:t>
            </w:r>
          </w:p>
        </w:tc>
      </w:tr>
      <w:tr w:rsidR="00F50E9F">
        <w:tc>
          <w:tcPr>
            <w:tcW w:w="8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Razmatranje ponuda održat će se u školi dana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F15A6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22</w:t>
            </w:r>
            <w:r w:rsidR="000D2D8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.11.2023.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0E9F" w:rsidRDefault="00F15A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U 19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sati</w:t>
            </w:r>
          </w:p>
        </w:tc>
      </w:tr>
    </w:tbl>
    <w:p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lastRenderedPageBreak/>
        <w:br/>
      </w:r>
    </w:p>
    <w:p w:rsidR="00F50E9F" w:rsidRDefault="00F50E9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:rsidR="00F50E9F" w:rsidRDefault="009417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inherit" w:eastAsia="Times New Roman" w:hAnsi="inherit" w:cs="Times New Roman"/>
          <w:i/>
          <w:iCs/>
          <w:color w:val="231F20"/>
          <w:sz w:val="16"/>
          <w:szCs w:val="16"/>
          <w:lang w:eastAsia="hr-HR"/>
        </w:rPr>
        <w:t>Napomena: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1) Pristigle ponude trebaju sadržavati i u cijenu uključivati: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osiguranje odgovornosti i jamčevine.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2) Ponude trebaju biti: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:rsidR="00F50E9F" w:rsidRDefault="00F50E9F"/>
    <w:sectPr w:rsidR="00F50E9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F"/>
    <w:rsid w:val="000D2D85"/>
    <w:rsid w:val="001A1FB4"/>
    <w:rsid w:val="006806B0"/>
    <w:rsid w:val="0086592A"/>
    <w:rsid w:val="008C633C"/>
    <w:rsid w:val="008F35F4"/>
    <w:rsid w:val="008F7816"/>
    <w:rsid w:val="009336E6"/>
    <w:rsid w:val="009417D8"/>
    <w:rsid w:val="00B46ABE"/>
    <w:rsid w:val="00C8395B"/>
    <w:rsid w:val="00F15A66"/>
    <w:rsid w:val="00F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61B"/>
  <w15:docId w15:val="{437D0BF6-E2E9-4214-A9FB-031BB6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3B3"/>
    <w:pPr>
      <w:spacing w:after="3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613B3"/>
    <w:rPr>
      <w:b/>
      <w:bCs/>
    </w:rPr>
  </w:style>
  <w:style w:type="character" w:customStyle="1" w:styleId="bold">
    <w:name w:val="bold"/>
    <w:basedOn w:val="Zadanifontodlomka"/>
    <w:qFormat/>
    <w:rsid w:val="00F36E9E"/>
  </w:style>
  <w:style w:type="character" w:customStyle="1" w:styleId="kurziv">
    <w:name w:val="kurziv"/>
    <w:basedOn w:val="Zadanifontodlomka"/>
    <w:qFormat/>
    <w:rsid w:val="00F36E9E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dc:description/>
  <cp:lastModifiedBy>Alma Šavorić</cp:lastModifiedBy>
  <cp:revision>8</cp:revision>
  <cp:lastPrinted>2023-11-06T13:00:00Z</cp:lastPrinted>
  <dcterms:created xsi:type="dcterms:W3CDTF">2023-10-18T08:26:00Z</dcterms:created>
  <dcterms:modified xsi:type="dcterms:W3CDTF">2023-11-06T13:28:00Z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