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59" w:rsidRDefault="004A791D">
      <w:pPr>
        <w:pStyle w:val="Naslov1"/>
      </w:pPr>
      <w:r>
        <w:t>OŠ ANTUNA AUGUSTINČIĆA</w:t>
      </w:r>
    </w:p>
    <w:p w:rsidR="008E2C59" w:rsidRDefault="004A791D">
      <w:r>
        <w:t>Vladimira Nazora 2a</w:t>
      </w:r>
      <w:r>
        <w:br/>
        <w:t>10290 Zaprešić</w:t>
      </w:r>
      <w:r>
        <w:br/>
        <w:t>OIB: 18993083392</w:t>
      </w:r>
    </w:p>
    <w:p w:rsidR="008E2C59" w:rsidRDefault="004A791D">
      <w:pPr>
        <w:pStyle w:val="Naslov1"/>
      </w:pPr>
      <w:r>
        <w:t>OBRAZLOŽENJE IZVRŠENJA FINANCIJSKOG PLANA ZA RAZDOBLJE 01.01. – 30.06.2025. GODINE</w:t>
      </w:r>
    </w:p>
    <w:p w:rsidR="008E2C59" w:rsidRDefault="004A791D">
      <w:pPr>
        <w:pStyle w:val="Naslov2"/>
      </w:pPr>
      <w:r>
        <w:t>UVOD</w:t>
      </w:r>
    </w:p>
    <w:p w:rsidR="008E2C59" w:rsidRDefault="004A791D">
      <w:r>
        <w:t xml:space="preserve">Temeljem članka 76. stavka 3. i članka 81. stavka 3. Zakona o proračunu, ministar financija </w:t>
      </w:r>
      <w:r>
        <w:t>donio je novi Pravilnik o polugodišnjem i godišnjem izvještaju o izvršenju proračuna i financijskog plana (NN 85/23), koji je stupio na snagu 25. srpnja 2023.</w:t>
      </w:r>
      <w:r>
        <w:br/>
      </w:r>
      <w:r>
        <w:br/>
        <w:t>Prema članku 4. navedenog Pravilnika, polugodišnji izvještaj o izvršenju proračuna sadrži:</w:t>
      </w:r>
      <w:r>
        <w:br/>
        <w:t>- Opć</w:t>
      </w:r>
      <w:r>
        <w:t>i dio: Račun prihoda i rashoda, Račun financiranja (sažetak i klasifikacije)</w:t>
      </w:r>
      <w:r>
        <w:br/>
        <w:t>- Posebni dio: Programi i aktivnosti s izvršenjem rashoda i izdataka</w:t>
      </w:r>
      <w:r>
        <w:br/>
        <w:t>- Obrazloženje: Prihodi, rashodi, manjak/višak i rezultati po programima</w:t>
      </w:r>
      <w:r>
        <w:br/>
        <w:t>- Posebni izvještaji: O zaduženju, po</w:t>
      </w:r>
      <w:r>
        <w:t>traživanjima, EU fondovima i dr.</w:t>
      </w:r>
    </w:p>
    <w:p w:rsidR="008E2C59" w:rsidRDefault="004A791D">
      <w:pPr>
        <w:pStyle w:val="Naslov2"/>
      </w:pPr>
      <w:r>
        <w:t>I. OPĆI DIO – OBRAZLOŽENJE</w:t>
      </w:r>
    </w:p>
    <w:p w:rsidR="008E2C59" w:rsidRDefault="004A791D">
      <w:r>
        <w:t>Sažetak (Tablica 1):</w:t>
      </w:r>
      <w:r>
        <w:br/>
        <w:t>- Ostvareni prihodi i primici: 1.843.523,90 € (54,32% godišnjeg plana)</w:t>
      </w:r>
      <w:r>
        <w:br/>
        <w:t xml:space="preserve">  – uvećanje za 106,79% u odnosu na isto razdoblje 2024.</w:t>
      </w:r>
      <w:r>
        <w:br/>
        <w:t>- Rashodi i izdaci: 2.081.834,01 € (49,98% godi</w:t>
      </w:r>
      <w:r>
        <w:t>šnjeg plana)</w:t>
      </w:r>
      <w:r>
        <w:br/>
        <w:t xml:space="preserve">  – povećanje za 124,07% u odnosu na prethodnu godinu</w:t>
      </w:r>
      <w:r>
        <w:br/>
        <w:t>- Manjak: 238.310,11 € (povećanje od 492,81% u odnosu na prošlu godinu)</w:t>
      </w:r>
    </w:p>
    <w:p w:rsidR="008E2C59" w:rsidRDefault="004A791D">
      <w:r>
        <w:t>Po izvorima financiranja:</w:t>
      </w:r>
      <w:r>
        <w:br/>
        <w:t>- Opći prihodi i primici: –3.558,24 €</w:t>
      </w:r>
      <w:r>
        <w:br/>
        <w:t>- Vlastiti prihodi (najam prostora, dvorana): 18.767,</w:t>
      </w:r>
      <w:r>
        <w:t>79 €</w:t>
      </w:r>
      <w:r>
        <w:br/>
        <w:t>- Prihodi za posebne namjene (kuhinja, boravak, nastava): 25.767,54 €</w:t>
      </w:r>
      <w:r>
        <w:br/>
        <w:t xml:space="preserve">- </w:t>
      </w:r>
      <w:proofErr w:type="spellStart"/>
      <w:r>
        <w:t>Pomoći</w:t>
      </w:r>
      <w:proofErr w:type="spellEnd"/>
      <w:r>
        <w:t xml:space="preserve"> (place za </w:t>
      </w:r>
      <w:proofErr w:type="spellStart"/>
      <w:r>
        <w:t>lipanj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proofErr w:type="gramStart"/>
      <w:r>
        <w:t>proračuna</w:t>
      </w:r>
      <w:proofErr w:type="spellEnd"/>
      <w:r>
        <w:t xml:space="preserve"> </w:t>
      </w:r>
      <w:r>
        <w:t>,</w:t>
      </w:r>
      <w:proofErr w:type="gramEnd"/>
      <w:r>
        <w:t xml:space="preserve"> Erasmus, </w:t>
      </w:r>
      <w:proofErr w:type="spellStart"/>
      <w:r>
        <w:t>Plaće</w:t>
      </w:r>
      <w:proofErr w:type="spellEnd"/>
      <w:r>
        <w:t xml:space="preserve"> za </w:t>
      </w:r>
      <w:proofErr w:type="spellStart"/>
      <w:r>
        <w:t>pomoćnike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od 12/24-30.6.2025.</w:t>
      </w:r>
      <w:r>
        <w:t>): –286.015,33 €</w:t>
      </w:r>
      <w:r>
        <w:br/>
        <w:t>- Prihodi od prodaje (stari papir): –388,35 €</w:t>
      </w:r>
    </w:p>
    <w:p w:rsidR="008E2C59" w:rsidRDefault="004A791D">
      <w:r>
        <w:t>Škola posluje unutar rizničnog sustava Grada Zaprešića i financira se iz:</w:t>
      </w:r>
      <w:r>
        <w:br/>
        <w:t>- Općih prihoda i pr</w:t>
      </w:r>
      <w:r>
        <w:t>imitaka (1.1)</w:t>
      </w:r>
      <w:r>
        <w:br/>
        <w:t>- Decentraliziranih sredstava (1.2)</w:t>
      </w:r>
      <w:r>
        <w:br/>
        <w:t>- Vlastitih prihoda (3.5)</w:t>
      </w:r>
      <w:r>
        <w:br/>
        <w:t>- Pomoći (4.)</w:t>
      </w:r>
      <w:r>
        <w:br/>
      </w:r>
      <w:r>
        <w:lastRenderedPageBreak/>
        <w:t>- Donacija (5.3)</w:t>
      </w:r>
      <w:r>
        <w:br/>
        <w:t>- Prihoda od prodaje (6.)</w:t>
      </w:r>
    </w:p>
    <w:p w:rsidR="008E2C59" w:rsidRDefault="004A791D">
      <w:r>
        <w:t>Po klasifikacijama:</w:t>
      </w:r>
      <w:r>
        <w:br/>
        <w:t>- Ekonomska klasifikacija (Tablica 2): ostvareni prihodi poslovanja, prihodi od imovine nisu.</w:t>
      </w:r>
      <w:r>
        <w:br/>
        <w:t>- Funkcij</w:t>
      </w:r>
      <w:r>
        <w:t>ska klasifikacija (Tablica 4): izvršenje 53,67% (porast od 124,94%).</w:t>
      </w:r>
      <w:r>
        <w:br/>
        <w:t>- Račun financiranja (Tablica 5): nema realizacije.</w:t>
      </w:r>
      <w:r>
        <w:br/>
        <w:t>- Tablica 6: nema prometa u 2025.</w:t>
      </w:r>
    </w:p>
    <w:p w:rsidR="008E2C59" w:rsidRDefault="004A791D">
      <w:pPr>
        <w:pStyle w:val="Naslov2"/>
      </w:pPr>
      <w:r>
        <w:t>II. POSEBNI DIO – OBRAZLOŽENJE</w:t>
      </w:r>
    </w:p>
    <w:p w:rsidR="008E2C59" w:rsidRDefault="004A791D">
      <w:r>
        <w:t>Organizacijska klasifikacija (Tablica 7):</w:t>
      </w:r>
      <w:r>
        <w:br/>
        <w:t>- Plan rashoda i izdataka za</w:t>
      </w:r>
      <w:r>
        <w:t xml:space="preserve"> Osnovno školstvo izvršen s 49,98%.</w:t>
      </w:r>
      <w:r>
        <w:br/>
      </w:r>
      <w:r>
        <w:br/>
        <w:t>Programska klasifikacija (Tablica 8):</w:t>
      </w:r>
      <w:r>
        <w:br/>
        <w:t>- Program 017 Osnovno školstvo – Redovna djelatnost: 54,20%</w:t>
      </w:r>
      <w:r>
        <w:br/>
        <w:t>- Program R27 Kapitalna ulaganja: 0,54%</w:t>
      </w:r>
      <w:r>
        <w:br/>
        <w:t>- Program R28 Održavanje građevina i opreme: 51,32%</w:t>
      </w:r>
      <w:r>
        <w:br/>
      </w:r>
      <w:r>
        <w:br/>
        <w:t>Po izvorima:</w:t>
      </w:r>
      <w:r>
        <w:br/>
        <w:t xml:space="preserve">- Opći prihodi </w:t>
      </w:r>
      <w:r>
        <w:t>i primici: 40,50%</w:t>
      </w:r>
      <w:r>
        <w:br/>
        <w:t>- Vlastiti prihodi: 32,31%</w:t>
      </w:r>
      <w:r>
        <w:br/>
        <w:t>- Prihodi za posebne namjene: 34,92%</w:t>
      </w:r>
      <w:r>
        <w:br/>
        <w:t>- Pomoći: 53,50%</w:t>
      </w:r>
      <w:r>
        <w:br/>
        <w:t>- Prihodi od prodaje: 55,48%</w:t>
      </w:r>
    </w:p>
    <w:p w:rsidR="008E2C59" w:rsidRDefault="004A791D">
      <w:pPr>
        <w:pStyle w:val="Naslov2"/>
      </w:pPr>
      <w:r>
        <w:t>III. POSEBNI IZVJEŠTAJI</w:t>
      </w:r>
    </w:p>
    <w:p w:rsidR="008E2C59" w:rsidRDefault="004A791D">
      <w:r>
        <w:t>1. Zaduživanje:</w:t>
      </w:r>
      <w:r>
        <w:br/>
        <w:t>- Škola se nije zaduživala.</w:t>
      </w:r>
      <w:r>
        <w:br/>
      </w:r>
      <w:r>
        <w:br/>
        <w:t>2. Korištenje sredstava EU fondova:</w:t>
      </w:r>
      <w:r>
        <w:br/>
        <w:t>- Program Erasmus+: ost</w:t>
      </w:r>
      <w:r>
        <w:t xml:space="preserve">vareno 20.331,80 € u 2024.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prenesena</w:t>
      </w:r>
      <w:proofErr w:type="spellEnd"/>
      <w:r>
        <w:t xml:space="preserve"> u 2025. zbog preklapanja rashoda.</w:t>
      </w:r>
      <w:r>
        <w:br/>
      </w:r>
      <w:r>
        <w:br/>
        <w:t>3. Dani zajmovi:</w:t>
      </w:r>
      <w:r>
        <w:br/>
        <w:t>- Škola nije davala zajmove.</w:t>
      </w:r>
      <w:r>
        <w:br/>
      </w:r>
      <w:r>
        <w:br/>
        <w:t>4. Potraživanja i obveze:</w:t>
      </w:r>
      <w:r>
        <w:br/>
        <w:t xml:space="preserve">- Potraživanja: 226.915,56 €, od čega 197.037,45 € za place 29. 878,11za </w:t>
      </w:r>
      <w:proofErr w:type="spellStart"/>
      <w:r>
        <w:t>prehranu</w:t>
      </w:r>
      <w:proofErr w:type="spellEnd"/>
      <w:r>
        <w:t xml:space="preserve"> </w:t>
      </w:r>
      <w:proofErr w:type="spellStart"/>
      <w:r>
        <w:t>lipanja</w:t>
      </w:r>
      <w:proofErr w:type="spellEnd"/>
      <w:r>
        <w:t xml:space="preserve"> I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 xml:space="preserve"> za </w:t>
      </w:r>
      <w:proofErr w:type="spellStart"/>
      <w:r>
        <w:t>lipanj</w:t>
      </w:r>
      <w:proofErr w:type="spellEnd"/>
      <w:r>
        <w:t xml:space="preserve"> </w:t>
      </w:r>
      <w:r>
        <w:br/>
        <w:t xml:space="preserve">- </w:t>
      </w: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>: 303.8</w:t>
      </w:r>
      <w:r>
        <w:t xml:space="preserve">92,15 € (računi s </w:t>
      </w:r>
      <w:proofErr w:type="spellStart"/>
      <w:r>
        <w:t>valutom</w:t>
      </w:r>
      <w:proofErr w:type="spellEnd"/>
      <w:r>
        <w:t xml:space="preserve"> u </w:t>
      </w:r>
      <w:proofErr w:type="spellStart"/>
      <w:r>
        <w:t>srpnju</w:t>
      </w:r>
      <w:proofErr w:type="spellEnd"/>
      <w:r>
        <w:t xml:space="preserve">, place za </w:t>
      </w:r>
      <w:proofErr w:type="spellStart"/>
      <w:proofErr w:type="gramStart"/>
      <w:r>
        <w:t>lipanj</w:t>
      </w:r>
      <w:proofErr w:type="spellEnd"/>
      <w:r>
        <w:t xml:space="preserve"> </w:t>
      </w:r>
      <w:r>
        <w:t>)</w:t>
      </w:r>
      <w:proofErr w:type="gramEnd"/>
      <w:r>
        <w:br/>
        <w:t xml:space="preserve">-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sporova.</w:t>
      </w:r>
      <w:r>
        <w:br/>
      </w:r>
      <w:r>
        <w:br/>
        <w:t>5. Jamstva:</w:t>
      </w:r>
      <w:r>
        <w:br/>
        <w:t>- Škola nije izdala jamstva niti izvršavala obveze po jamstvima.</w:t>
      </w:r>
    </w:p>
    <w:p w:rsidR="008E2C59" w:rsidRDefault="004A791D">
      <w:r>
        <w:lastRenderedPageBreak/>
        <w:br/>
        <w:t>Zaprešić, 10.7.2025.</w:t>
      </w:r>
    </w:p>
    <w:p w:rsidR="008E2C59" w:rsidRDefault="004A791D">
      <w:r>
        <w:t>Voditeljica računovodstva: Ivanka Aurer</w:t>
      </w:r>
    </w:p>
    <w:p w:rsidR="008E2C59" w:rsidRDefault="004A791D">
      <w:r>
        <w:t>Ravnateljica: Danijela Adžijević</w:t>
      </w:r>
      <w:bookmarkStart w:id="0" w:name="_GoBack"/>
      <w:bookmarkEnd w:id="0"/>
    </w:p>
    <w:sectPr w:rsidR="008E2C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791D"/>
    <w:rsid w:val="008E2C5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69C5B"/>
  <w14:defaultImageDpi w14:val="300"/>
  <w15:docId w15:val="{914475E0-A8F5-4713-907A-81E4216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522848-1220-47B3-83E2-01B2B5DF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ivanka</cp:lastModifiedBy>
  <cp:revision>2</cp:revision>
  <dcterms:created xsi:type="dcterms:W3CDTF">2013-12-23T23:15:00Z</dcterms:created>
  <dcterms:modified xsi:type="dcterms:W3CDTF">2025-07-11T06:12:00Z</dcterms:modified>
  <cp:category/>
</cp:coreProperties>
</file>